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17" w:rsidRDefault="006E5825">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p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rsidR="00921617" w:rsidRPr="006E5825" w:rsidRDefault="00921617">
      <w:pPr>
        <w:pBdr>
          <w:bottom w:val="single" w:sz="6" w:space="1" w:color="auto"/>
        </w:pBdr>
        <w:spacing w:after="0" w:line="240" w:lineRule="auto"/>
        <w:jc w:val="center"/>
        <w:rPr>
          <w:rFonts w:ascii="Times New Roman" w:hAnsi="Times New Roman" w:cs="Times New Roman"/>
          <w:sz w:val="28"/>
          <w:szCs w:val="28"/>
        </w:rPr>
      </w:pPr>
    </w:p>
    <w:p w:rsidR="00921617" w:rsidRPr="004E6C73"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6E5825" w:rsidRDefault="006E5825">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Pr="004E6C73" w:rsidRDefault="004E6C73">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Вправе ли гражданский служащий иметь в собственности ценные бумаги?</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t xml:space="preserve">Данный запрет начинает действовать со дня замещения (занятия) должности, указанной в пункте 1 части 1 статьи 2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lastRenderedPageBreak/>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Pr="004E6C73" w:rsidRDefault="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rsidR="00921617" w:rsidRPr="004E6C73" w:rsidRDefault="00921617">
      <w:pPr>
        <w:spacing w:after="0" w:line="240" w:lineRule="auto"/>
        <w:ind w:firstLine="709"/>
        <w:jc w:val="both"/>
        <w:rPr>
          <w:rFonts w:ascii="Times New Roman" w:hAnsi="Times New Roman" w:cs="Times New Roman"/>
          <w:i/>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Международный идентификационный код ценной бумаги (англ. International Securities Identification Number, ISIN) – 12-разрядный буквенно-цифровой код, однозначно идентифицирующий ценную бумагу. </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9"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Pr="004E6C73" w:rsidRDefault="004E6C73">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Какие особенности приобретения ценных бумаг гражданскими служащими заслуживают внимания?</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4E6C73" w:rsidRPr="004E6C73" w:rsidRDefault="004E6C73" w:rsidP="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"депозитарная расписка"?</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Определения понятия "конфликт интересов" и связанного с ним понятия "личная заинтересованность" предусмотрены в частях 1 и 2 статьи 10 Федерального закона от 25 декабря 2008 г. № 273-ФЗ "О противодействии коррупции" (далее – Федеральный закон № 273-ФЗ).</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0"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правоприменения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1"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CE5AD7" w:rsidRPr="004E6C73" w:rsidRDefault="00CE5AD7" w:rsidP="00CE5AD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rsidR="00921617" w:rsidRPr="004E6C73"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в случае приобретения ценных бумаг в порядке наследования, владение которыми приводит или может привести к конфликту интересов?</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CE5AD7" w:rsidRPr="005C2887" w:rsidRDefault="00CE5AD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Означает ли передача ценных бумаг в доверительное управление переход права собственности на них?</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законодательством Российской Федерации осуществляется в целях предотвращения конфликта интересов, а не его урегулирования.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эмитентами указанных ценных бумаг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Default="00315F87" w:rsidP="00315F87">
      <w:pPr>
        <w:pStyle w:val="afb"/>
        <w:spacing w:after="0" w:line="240" w:lineRule="auto"/>
        <w:ind w:left="1069"/>
        <w:jc w:val="both"/>
        <w:rPr>
          <w:rFonts w:ascii="Times New Roman" w:eastAsia="Calibri" w:hAnsi="Times New Roman" w:cs="Times New Roman"/>
          <w:sz w:val="24"/>
          <w:szCs w:val="28"/>
        </w:rPr>
      </w:pPr>
    </w:p>
    <w:p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w:t>
      </w:r>
      <w:r w:rsidRPr="00315F87">
        <w:rPr>
          <w:rFonts w:ascii="Times New Roman" w:eastAsia="Calibri" w:hAnsi="Times New Roman" w:cs="Times New Roman"/>
          <w:sz w:val="28"/>
          <w:szCs w:val="28"/>
        </w:rPr>
        <w:lastRenderedPageBreak/>
        <w:t xml:space="preserve">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t>и договоры доверительного управления ценными бумагами, которые предусматривают открытие и ведение индивидуального инвестиционного счета.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например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Необходимо помнить, что ответственность возложена на гражданского служащего, а не на брокера или управляющую компанию.</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5C2887" w:rsidRPr="005C2887" w:rsidRDefault="005C2887" w:rsidP="005C288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систематическая купля-продажа ценных бумаг предпринимательской деятельностью?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Предпринимательской деятельностью является именно оказание самим лицом (например, брокером) посреднических услуг по купле-продаже ценных бумаг.</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При этом необходимо принимать во внимание, что приобретение акций (долей участия в уставном капитале) может привести к конфликту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Могут ли гражданские служащие приобретать облигации федерального займа?</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headerReference w:type="default" r:id="rId12"/>
      <w:type w:val="oddPage"/>
      <w:pgSz w:w="11906" w:h="16838"/>
      <w:pgMar w:top="1134" w:right="567" w:bottom="1134" w:left="1134"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386C21" w16cex:dateUtc="2022-07-18T07:25:21Z"/>
  <w16cex:commentExtensible w16cex:durableId="3C186AC3" w16cex:dateUtc="2022-07-18T07:17:46Z"/>
  <w16cex:commentExtensible w16cex:durableId="67A00E93" w16cex:dateUtc="2022-07-18T07:04:02Z"/>
  <w16cex:commentExtensible w16cex:durableId="3A647962" w16cex:dateUtc="2022-07-18T07:02:01Z"/>
  <w16cex:commentExtensible w16cex:durableId="145F9B32" w16cex:dateUtc="2022-07-18T06:57:3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B386C21"/>
  <w16cid:commentId w16cid:paraId="00000002" w16cid:durableId="3C186AC3"/>
  <w16cid:commentId w16cid:paraId="00000003" w16cid:durableId="67A00E93"/>
  <w16cid:commentId w16cid:paraId="00000004" w16cid:durableId="3A647962"/>
  <w16cid:commentId w16cid:paraId="00000005" w16cid:durableId="145F9B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B56" w:rsidRDefault="00925B56">
      <w:pPr>
        <w:spacing w:after="0" w:line="240" w:lineRule="auto"/>
      </w:pPr>
      <w:r>
        <w:separator/>
      </w:r>
    </w:p>
  </w:endnote>
  <w:endnote w:type="continuationSeparator" w:id="0">
    <w:p w:rsidR="00925B56" w:rsidRDefault="0092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B56" w:rsidRDefault="00925B56">
      <w:pPr>
        <w:spacing w:after="0" w:line="240" w:lineRule="auto"/>
      </w:pPr>
      <w:r>
        <w:separator/>
      </w:r>
    </w:p>
  </w:footnote>
  <w:footnote w:type="continuationSeparator" w:id="0">
    <w:p w:rsidR="00925B56" w:rsidRDefault="00925B56">
      <w:pPr>
        <w:spacing w:after="0" w:line="240" w:lineRule="auto"/>
      </w:pPr>
      <w:r>
        <w:continuationSeparator/>
      </w:r>
    </w:p>
  </w:footnote>
  <w:footnote w:id="1">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086"/>
      <w:docPartObj>
        <w:docPartGallery w:val="Page Numbers (Top of Page)"/>
        <w:docPartUnique/>
      </w:docPartObj>
    </w:sdtPr>
    <w:sdtEndPr/>
    <w:sdtContent>
      <w:p w:rsidR="00921617" w:rsidRDefault="006E5825">
        <w:pPr>
          <w:pStyle w:val="af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1A6AA6">
          <w:rPr>
            <w:rFonts w:ascii="Times New Roman" w:hAnsi="Times New Roman" w:cs="Times New Roman"/>
            <w:noProof/>
            <w:sz w:val="28"/>
          </w:rPr>
          <w:t>2</w:t>
        </w:r>
        <w:r>
          <w:rPr>
            <w:rFonts w:ascii="Times New Roman" w:hAnsi="Times New Roman" w:cs="Times New Roman"/>
            <w:sz w:val="28"/>
          </w:rPr>
          <w:fldChar w:fldCharType="end"/>
        </w:r>
      </w:p>
    </w:sdtContent>
  </w:sdt>
  <w:p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17"/>
    <w:rsid w:val="00040A92"/>
    <w:rsid w:val="001A6AA6"/>
    <w:rsid w:val="002463E0"/>
    <w:rsid w:val="00315F87"/>
    <w:rsid w:val="004E6C73"/>
    <w:rsid w:val="00562E46"/>
    <w:rsid w:val="005C2887"/>
    <w:rsid w:val="006E5825"/>
    <w:rsid w:val="00746C3F"/>
    <w:rsid w:val="00921617"/>
    <w:rsid w:val="00925B56"/>
    <w:rsid w:val="00CE5AD7"/>
    <w:rsid w:val="00D7003D"/>
    <w:rsid w:val="00DD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D989-9ACC-40A4-86C3-0EB77C62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trud.gov.ru/ministry/programms/anticorruption/9/13" TargetMode="Externa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hyperlink" Target="https://mintrud.gov.ru/ministry/programms/anticorruption/9/15" TargetMode="External"/><Relationship Id="rId4" Type="http://schemas.openxmlformats.org/officeDocument/2006/relationships/styles" Target="styles.xml"/><Relationship Id="rId9" Type="http://schemas.openxmlformats.org/officeDocument/2006/relationships/hyperlink" Target="https://www.isin.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622C-80F9-4FCE-BCB7-378A1999BE79}"/>
</file>

<file path=customXml/itemProps2.xml><?xml version="1.0" encoding="utf-8"?>
<ds:datastoreItem xmlns:ds="http://schemas.openxmlformats.org/officeDocument/2006/customXml" ds:itemID="{0B178CB2-D228-4E02-AEB4-D3DA8861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Максимова</cp:lastModifiedBy>
  <cp:revision>2</cp:revision>
  <cp:lastPrinted>2022-08-26T14:18:00Z</cp:lastPrinted>
  <dcterms:created xsi:type="dcterms:W3CDTF">2022-10-11T06:17:00Z</dcterms:created>
  <dcterms:modified xsi:type="dcterms:W3CDTF">2022-10-11T06:17:00Z</dcterms:modified>
  <cp:category>Файлы документов</cp:category>
</cp:coreProperties>
</file>